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88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23 二〇二二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年奉新县本级国有资本经营预算收入决算的说明</w:t>
      </w:r>
    </w:p>
    <w:p>
      <w:pPr>
        <w:numPr>
          <w:ilvl w:val="0"/>
          <w:numId w:val="0"/>
        </w:numPr>
        <w:ind w:firstLine="883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</w:p>
    <w:p>
      <w:pPr>
        <w:spacing w:line="600" w:lineRule="exact"/>
        <w:ind w:firstLine="681" w:firstLineChars="213"/>
        <w:rPr>
          <w:rStyle w:val="4"/>
          <w:rFonts w:hint="eastAsia" w:eastAsia="仿宋"/>
          <w:b w:val="0"/>
          <w:i w:val="0"/>
          <w:color w:val="000000"/>
          <w:lang w:val="en-US" w:eastAsia="zh-CN"/>
        </w:rPr>
      </w:pPr>
      <w:r>
        <w:rPr>
          <w:rStyle w:val="4"/>
          <w:rFonts w:hint="eastAsia"/>
          <w:b w:val="0"/>
          <w:i w:val="0"/>
          <w:color w:val="000000"/>
          <w:lang w:val="en-US" w:eastAsia="zh-CN"/>
        </w:rPr>
        <w:t>2022年奉新县本级国有资本经营预算收入决算较上年增长22132.8%，主要</w:t>
      </w:r>
      <w:r>
        <w:rPr>
          <w:rStyle w:val="4"/>
          <w:rFonts w:hint="eastAsia" w:eastAsia="仿宋"/>
          <w:b w:val="0"/>
          <w:i w:val="0"/>
          <w:color w:val="000000"/>
          <w:lang w:val="en-US" w:eastAsia="zh-CN"/>
        </w:rPr>
        <w:t>是加快盘活可变现存量资产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jc w:val="left"/>
        <w:rPr>
          <w:rStyle w:val="4"/>
          <w:rFonts w:hint="eastAsia"/>
          <w:b w:val="0"/>
          <w:i w:val="0"/>
          <w:color w:val="00000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F1C4F"/>
    <w:rsid w:val="17997149"/>
    <w:rsid w:val="1EC610F0"/>
    <w:rsid w:val="255C47E4"/>
    <w:rsid w:val="4FD15ABA"/>
    <w:rsid w:val="54206142"/>
    <w:rsid w:val="7330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style01"/>
    <w:basedOn w:val="2"/>
    <w:qFormat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</cp:lastModifiedBy>
  <dcterms:modified xsi:type="dcterms:W3CDTF">2023-11-29T08:25:39Z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